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52" w:rsidRPr="00A538BA" w:rsidRDefault="00A42C52" w:rsidP="00A42C52">
      <w:pPr>
        <w:spacing w:before="60" w:after="120"/>
        <w:jc w:val="both"/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</w:pPr>
      <w:r w:rsidRPr="00A42C52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Kuusalu valla territooriumil asuvad jõed ning nende kaldavööndite ulatused. Allikas: Keskkonnaregister</w:t>
      </w:r>
      <w:r w:rsidR="00F0314A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, seisuga </w:t>
      </w:r>
      <w:r w:rsidR="00B74A9F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märts</w:t>
      </w:r>
      <w:r w:rsidR="00F0314A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 2015</w:t>
      </w:r>
      <w:bookmarkStart w:id="0" w:name="_GoBack"/>
      <w:bookmarkEnd w:id="0"/>
    </w:p>
    <w:tbl>
      <w:tblPr>
        <w:tblStyle w:val="Ramboll2"/>
        <w:tblW w:w="14134" w:type="dxa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029"/>
        <w:gridCol w:w="1239"/>
        <w:gridCol w:w="1559"/>
        <w:gridCol w:w="1276"/>
        <w:gridCol w:w="992"/>
        <w:gridCol w:w="4103"/>
      </w:tblGrid>
      <w:tr w:rsidR="00A42C52" w:rsidRPr="00A42C52" w:rsidTr="004C3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1384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Registri-kood</w:t>
            </w:r>
          </w:p>
        </w:tc>
        <w:tc>
          <w:tcPr>
            <w:tcW w:w="1559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Veekogu nimi</w:t>
            </w:r>
          </w:p>
        </w:tc>
        <w:tc>
          <w:tcPr>
            <w:tcW w:w="99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Pikkus, km*</w:t>
            </w:r>
          </w:p>
        </w:tc>
        <w:tc>
          <w:tcPr>
            <w:tcW w:w="102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Valgala, km</w:t>
            </w:r>
            <w:r w:rsidRPr="00A42C52">
              <w:rPr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123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Kalda piirangu-vöönd, m</w:t>
            </w:r>
          </w:p>
        </w:tc>
        <w:tc>
          <w:tcPr>
            <w:tcW w:w="155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Kalda ehituskeelu-vöönd, m</w:t>
            </w:r>
          </w:p>
        </w:tc>
        <w:tc>
          <w:tcPr>
            <w:tcW w:w="1276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Kalda veekaitse-vöönd, m</w:t>
            </w:r>
          </w:p>
        </w:tc>
        <w:tc>
          <w:tcPr>
            <w:tcW w:w="992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Kallas-rada, m</w:t>
            </w:r>
          </w:p>
        </w:tc>
        <w:tc>
          <w:tcPr>
            <w:tcW w:w="410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Märkused</w:t>
            </w:r>
          </w:p>
        </w:tc>
      </w:tr>
      <w:tr w:rsidR="00A42C52" w:rsidRPr="00A42C52" w:rsidTr="004C33F0">
        <w:trPr>
          <w:trHeight w:val="3404"/>
        </w:trPr>
        <w:tc>
          <w:tcPr>
            <w:tcW w:w="1384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VEE1083500</w:t>
            </w:r>
          </w:p>
        </w:tc>
        <w:tc>
          <w:tcPr>
            <w:tcW w:w="1559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 xml:space="preserve">Jägala jõgi </w:t>
            </w:r>
          </w:p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(Kehra jõgi; ülemjooksul: Kiigumõisa jõgi, Kigumõisa jõgi)</w:t>
            </w:r>
          </w:p>
        </w:tc>
        <w:tc>
          <w:tcPr>
            <w:tcW w:w="99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115,8</w:t>
            </w:r>
          </w:p>
        </w:tc>
        <w:tc>
          <w:tcPr>
            <w:tcW w:w="102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1481,3</w:t>
            </w:r>
          </w:p>
        </w:tc>
        <w:tc>
          <w:tcPr>
            <w:tcW w:w="123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100</w:t>
            </w:r>
          </w:p>
        </w:tc>
        <w:tc>
          <w:tcPr>
            <w:tcW w:w="155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4103" w:type="dxa"/>
          </w:tcPr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contextualSpacing/>
              <w:rPr>
                <w:rFonts w:eastAsia="Verdana"/>
                <w:sz w:val="18"/>
              </w:rPr>
            </w:pPr>
            <w:r w:rsidRPr="00A42C52">
              <w:rPr>
                <w:rFonts w:eastAsia="Verdana"/>
                <w:sz w:val="18"/>
              </w:rPr>
              <w:t>avalikult kasutatav;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contextualSpacing/>
              <w:rPr>
                <w:rFonts w:eastAsia="Verdana"/>
                <w:sz w:val="18"/>
              </w:rPr>
            </w:pPr>
            <w:r w:rsidRPr="00A42C52">
              <w:rPr>
                <w:rFonts w:eastAsia="Verdana"/>
                <w:sz w:val="18"/>
              </w:rPr>
              <w:t xml:space="preserve">kuulub kas osaliste lõikudena või tervikuna riigi poolt korrashoitavate ühiseesvoolude loetellu; 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contextualSpacing/>
              <w:rPr>
                <w:rFonts w:eastAsia="Verdana"/>
                <w:sz w:val="18"/>
              </w:rPr>
            </w:pPr>
            <w:r w:rsidRPr="00A42C52">
              <w:rPr>
                <w:rFonts w:eastAsia="Verdana"/>
                <w:sz w:val="18"/>
              </w:rPr>
              <w:t xml:space="preserve">lõheliste elupaigana kaitstav veekogu; 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contextualSpacing/>
              <w:rPr>
                <w:rFonts w:eastAsia="Verdana"/>
                <w:sz w:val="18"/>
              </w:rPr>
            </w:pPr>
            <w:r w:rsidRPr="00A42C52">
              <w:rPr>
                <w:rFonts w:eastAsia="Verdana"/>
                <w:sz w:val="18"/>
              </w:rPr>
              <w:t>kuulub Jägala joast kuni suubumiseni Soome lahte lõhe, jõeforelli, meriforelli ja harjuse kudemis- ja elupaikade nimistusse;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0"/>
              <w:ind w:left="176" w:hanging="176"/>
              <w:contextualSpacing/>
              <w:rPr>
                <w:rFonts w:eastAsia="Verdana"/>
                <w:sz w:val="18"/>
              </w:rPr>
            </w:pPr>
            <w:r w:rsidRPr="00A42C52">
              <w:rPr>
                <w:rFonts w:eastAsia="Verdana"/>
                <w:sz w:val="18"/>
              </w:rPr>
              <w:t>kuulub Tallinna linna pinnaveesüsteemi joogiveehaardesse lõigul alates 60 km kauguselt suudmest kuni Kaunissaare profiilini (koos Jägala–Jõelähtme–Pirita veejuhtmega)</w:t>
            </w:r>
          </w:p>
        </w:tc>
      </w:tr>
      <w:tr w:rsidR="00A42C52" w:rsidRPr="00A42C52" w:rsidTr="004C33F0">
        <w:trPr>
          <w:trHeight w:val="214"/>
        </w:trPr>
        <w:tc>
          <w:tcPr>
            <w:tcW w:w="1384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VEE1080900</w:t>
            </w:r>
          </w:p>
        </w:tc>
        <w:tc>
          <w:tcPr>
            <w:tcW w:w="1559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Kemba oja</w:t>
            </w:r>
          </w:p>
        </w:tc>
        <w:tc>
          <w:tcPr>
            <w:tcW w:w="99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7,1</w:t>
            </w:r>
          </w:p>
        </w:tc>
        <w:tc>
          <w:tcPr>
            <w:tcW w:w="102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9</w:t>
            </w:r>
          </w:p>
        </w:tc>
        <w:tc>
          <w:tcPr>
            <w:tcW w:w="123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50</w:t>
            </w:r>
          </w:p>
        </w:tc>
        <w:tc>
          <w:tcPr>
            <w:tcW w:w="155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25</w:t>
            </w:r>
          </w:p>
        </w:tc>
        <w:tc>
          <w:tcPr>
            <w:tcW w:w="1276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-</w:t>
            </w:r>
          </w:p>
        </w:tc>
        <w:tc>
          <w:tcPr>
            <w:tcW w:w="4103" w:type="dxa"/>
          </w:tcPr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>ei ole avalik ega avalikult kasutatav</w:t>
            </w:r>
          </w:p>
        </w:tc>
      </w:tr>
      <w:tr w:rsidR="00A42C52" w:rsidRPr="00A42C52" w:rsidTr="004C33F0">
        <w:trPr>
          <w:trHeight w:val="225"/>
        </w:trPr>
        <w:tc>
          <w:tcPr>
            <w:tcW w:w="1384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VEE1081500</w:t>
            </w:r>
          </w:p>
        </w:tc>
        <w:tc>
          <w:tcPr>
            <w:tcW w:w="1559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Kolga jõgi / Männiku jõgi</w:t>
            </w:r>
          </w:p>
        </w:tc>
        <w:tc>
          <w:tcPr>
            <w:tcW w:w="99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14,2</w:t>
            </w:r>
          </w:p>
        </w:tc>
        <w:tc>
          <w:tcPr>
            <w:tcW w:w="102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47,1</w:t>
            </w:r>
          </w:p>
        </w:tc>
        <w:tc>
          <w:tcPr>
            <w:tcW w:w="123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100</w:t>
            </w:r>
          </w:p>
        </w:tc>
        <w:tc>
          <w:tcPr>
            <w:tcW w:w="155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4103" w:type="dxa"/>
          </w:tcPr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>avalikult</w:t>
            </w:r>
            <w:r w:rsidRPr="00A42C52">
              <w:rPr>
                <w:rFonts w:eastAsia="Verdana"/>
                <w:sz w:val="18"/>
              </w:rPr>
              <w:t xml:space="preserve"> kasutatav </w:t>
            </w:r>
          </w:p>
        </w:tc>
      </w:tr>
      <w:tr w:rsidR="00A42C52" w:rsidRPr="00A42C52" w:rsidTr="004C33F0">
        <w:trPr>
          <w:trHeight w:val="225"/>
        </w:trPr>
        <w:tc>
          <w:tcPr>
            <w:tcW w:w="1384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VEE1082100</w:t>
            </w:r>
          </w:p>
        </w:tc>
        <w:tc>
          <w:tcPr>
            <w:tcW w:w="1559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 xml:space="preserve">Loo jõgi </w:t>
            </w:r>
          </w:p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(Kahala jõgi, Santoja, Liiva oja, Sõitme oja, Liiva-Sõitme peakraav; ülemjooksul: Pikakatku peakraav)</w:t>
            </w:r>
          </w:p>
        </w:tc>
        <w:tc>
          <w:tcPr>
            <w:tcW w:w="99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17,8</w:t>
            </w:r>
          </w:p>
        </w:tc>
        <w:tc>
          <w:tcPr>
            <w:tcW w:w="102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60,3</w:t>
            </w:r>
          </w:p>
        </w:tc>
        <w:tc>
          <w:tcPr>
            <w:tcW w:w="123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100</w:t>
            </w:r>
          </w:p>
        </w:tc>
        <w:tc>
          <w:tcPr>
            <w:tcW w:w="155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4103" w:type="dxa"/>
          </w:tcPr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kuulub kas osaliste lõikudena või tervikuna riigi poolt korrashoitavate ühiseesvoolude loetellu; 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kuulub Loo paisust kuni suudmeni lõhe, jõeforelli, meriforelli ja harjuse kudemis- ja elupaikade nimistusse; 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>avalikult kasutatav</w:t>
            </w:r>
          </w:p>
        </w:tc>
      </w:tr>
      <w:tr w:rsidR="00A42C52" w:rsidRPr="00A42C52" w:rsidTr="004C33F0">
        <w:trPr>
          <w:trHeight w:val="225"/>
        </w:trPr>
        <w:tc>
          <w:tcPr>
            <w:tcW w:w="1384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VEE1077900</w:t>
            </w:r>
          </w:p>
        </w:tc>
        <w:tc>
          <w:tcPr>
            <w:tcW w:w="1559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Loobu jõgi</w:t>
            </w:r>
          </w:p>
        </w:tc>
        <w:tc>
          <w:tcPr>
            <w:tcW w:w="99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67,9</w:t>
            </w:r>
          </w:p>
        </w:tc>
        <w:tc>
          <w:tcPr>
            <w:tcW w:w="102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314</w:t>
            </w:r>
          </w:p>
        </w:tc>
        <w:tc>
          <w:tcPr>
            <w:tcW w:w="123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100</w:t>
            </w:r>
          </w:p>
        </w:tc>
        <w:tc>
          <w:tcPr>
            <w:tcW w:w="155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4103" w:type="dxa"/>
          </w:tcPr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kuulub kas osaliste lõikudena või tervikuna riigi poolt korrashoitavate ühiseesvoolude loetellu; 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lastRenderedPageBreak/>
              <w:t xml:space="preserve">lõheliste elupaigana kaitstav veekogu; 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kuulub kogu ulatuses lõhe, jõeforelli, meriforelli ja harjuse kudemis- ja elupaikade nimistusse; 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avalikult kasutatav  </w:t>
            </w:r>
          </w:p>
        </w:tc>
      </w:tr>
      <w:tr w:rsidR="00A42C52" w:rsidRPr="00A42C52" w:rsidTr="004C33F0">
        <w:trPr>
          <w:trHeight w:val="464"/>
        </w:trPr>
        <w:tc>
          <w:tcPr>
            <w:tcW w:w="1384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lastRenderedPageBreak/>
              <w:t>VEE1078900</w:t>
            </w:r>
          </w:p>
        </w:tc>
        <w:tc>
          <w:tcPr>
            <w:tcW w:w="1559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Läsna jõgi / Nõmmoja</w:t>
            </w:r>
          </w:p>
        </w:tc>
        <w:tc>
          <w:tcPr>
            <w:tcW w:w="99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16,9</w:t>
            </w:r>
          </w:p>
        </w:tc>
        <w:tc>
          <w:tcPr>
            <w:tcW w:w="102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37,1</w:t>
            </w:r>
          </w:p>
        </w:tc>
        <w:tc>
          <w:tcPr>
            <w:tcW w:w="123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100</w:t>
            </w:r>
          </w:p>
        </w:tc>
        <w:tc>
          <w:tcPr>
            <w:tcW w:w="155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4103" w:type="dxa"/>
          </w:tcPr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avalikult kasutatav  </w:t>
            </w:r>
          </w:p>
        </w:tc>
      </w:tr>
      <w:tr w:rsidR="00A42C52" w:rsidRPr="00A42C52" w:rsidTr="004C33F0">
        <w:trPr>
          <w:trHeight w:val="225"/>
        </w:trPr>
        <w:tc>
          <w:tcPr>
            <w:tcW w:w="1384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VEE1080600</w:t>
            </w:r>
          </w:p>
        </w:tc>
        <w:tc>
          <w:tcPr>
            <w:tcW w:w="1559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Pärlijõgi / Pudisoo jõgi</w:t>
            </w:r>
          </w:p>
        </w:tc>
        <w:tc>
          <w:tcPr>
            <w:tcW w:w="99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31,8</w:t>
            </w:r>
          </w:p>
        </w:tc>
        <w:tc>
          <w:tcPr>
            <w:tcW w:w="102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143,7</w:t>
            </w:r>
          </w:p>
        </w:tc>
        <w:tc>
          <w:tcPr>
            <w:tcW w:w="123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100</w:t>
            </w:r>
          </w:p>
        </w:tc>
        <w:tc>
          <w:tcPr>
            <w:tcW w:w="155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4103" w:type="dxa"/>
          </w:tcPr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>lõheliste elupaigana kaitstav veekogu;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kuulub kogu ulatuses lõhe, jõeforelli, meriforelli ja harjuse kudemis- ja elupaikade nimistusse; 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avalikult kasutatav  </w:t>
            </w:r>
          </w:p>
        </w:tc>
      </w:tr>
      <w:tr w:rsidR="00A42C52" w:rsidRPr="00A42C52" w:rsidTr="004C33F0">
        <w:trPr>
          <w:trHeight w:val="225"/>
        </w:trPr>
        <w:tc>
          <w:tcPr>
            <w:tcW w:w="1384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VEE1087000</w:t>
            </w:r>
          </w:p>
        </w:tc>
        <w:tc>
          <w:tcPr>
            <w:tcW w:w="1559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Soodla jõgi</w:t>
            </w:r>
          </w:p>
        </w:tc>
        <w:tc>
          <w:tcPr>
            <w:tcW w:w="99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84,7</w:t>
            </w:r>
          </w:p>
        </w:tc>
        <w:tc>
          <w:tcPr>
            <w:tcW w:w="102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221,5</w:t>
            </w:r>
          </w:p>
        </w:tc>
        <w:tc>
          <w:tcPr>
            <w:tcW w:w="123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100</w:t>
            </w:r>
          </w:p>
        </w:tc>
        <w:tc>
          <w:tcPr>
            <w:tcW w:w="155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4103" w:type="dxa"/>
          </w:tcPr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>kuulub kas osaliste lõikudena või tervikuna riigi poolt korrashoitavate ühiseesvoolude loetellu;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kuulub Soodla veehoidla paisust suubumiseni Jägala jõkke lõhe, jõeforelli, meriforelli ja harjuse kudemis- ja elupaikade nimistusse; 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avalikult kasutatav  </w:t>
            </w:r>
          </w:p>
        </w:tc>
      </w:tr>
      <w:tr w:rsidR="00A42C52" w:rsidRPr="00A42C52" w:rsidTr="004C33F0">
        <w:trPr>
          <w:trHeight w:val="225"/>
        </w:trPr>
        <w:tc>
          <w:tcPr>
            <w:tcW w:w="1384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VEE1079200</w:t>
            </w:r>
          </w:p>
        </w:tc>
        <w:tc>
          <w:tcPr>
            <w:tcW w:w="1559" w:type="dxa"/>
            <w:noWrap/>
            <w:hideMark/>
          </w:tcPr>
          <w:p w:rsidR="00A42C52" w:rsidRPr="00A42C52" w:rsidRDefault="00A42C52" w:rsidP="00A42C52">
            <w:pPr>
              <w:spacing w:before="20" w:after="20"/>
              <w:rPr>
                <w:sz w:val="18"/>
                <w:szCs w:val="24"/>
              </w:rPr>
            </w:pPr>
            <w:r w:rsidRPr="00A42C52">
              <w:rPr>
                <w:sz w:val="18"/>
                <w:szCs w:val="24"/>
              </w:rPr>
              <w:t>Valgejõgi</w:t>
            </w:r>
          </w:p>
        </w:tc>
        <w:tc>
          <w:tcPr>
            <w:tcW w:w="993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104,2</w:t>
            </w:r>
          </w:p>
        </w:tc>
        <w:tc>
          <w:tcPr>
            <w:tcW w:w="102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451,5</w:t>
            </w:r>
          </w:p>
        </w:tc>
        <w:tc>
          <w:tcPr>
            <w:tcW w:w="123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100</w:t>
            </w:r>
          </w:p>
        </w:tc>
        <w:tc>
          <w:tcPr>
            <w:tcW w:w="1559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50</w:t>
            </w:r>
          </w:p>
        </w:tc>
        <w:tc>
          <w:tcPr>
            <w:tcW w:w="1276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42C52" w:rsidRPr="00A42C52" w:rsidRDefault="00A42C52" w:rsidP="00A42C52">
            <w:pPr>
              <w:spacing w:before="20" w:after="20"/>
              <w:jc w:val="center"/>
              <w:rPr>
                <w:color w:val="000000"/>
                <w:sz w:val="18"/>
                <w:szCs w:val="24"/>
              </w:rPr>
            </w:pPr>
            <w:r w:rsidRPr="00A42C52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4103" w:type="dxa"/>
          </w:tcPr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lõheliste elupaigana kaitstav veekogu;  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>kuulub kogu ulatuses lõhe, jõeforelli, meriforelli ja harjuse kudemis- ja elupaikade nimistusse;</w:t>
            </w:r>
          </w:p>
          <w:p w:rsidR="00A42C52" w:rsidRPr="00A42C52" w:rsidRDefault="00A42C52" w:rsidP="00A42C52">
            <w:pPr>
              <w:numPr>
                <w:ilvl w:val="0"/>
                <w:numId w:val="1"/>
              </w:numPr>
              <w:spacing w:before="20" w:after="20"/>
              <w:ind w:left="176" w:hanging="176"/>
              <w:rPr>
                <w:rFonts w:eastAsia="Verdana"/>
                <w:color w:val="000000"/>
                <w:sz w:val="18"/>
              </w:rPr>
            </w:pPr>
            <w:r w:rsidRPr="00A42C52">
              <w:rPr>
                <w:rFonts w:eastAsia="Verdana"/>
                <w:color w:val="000000"/>
                <w:sz w:val="18"/>
              </w:rPr>
              <w:t xml:space="preserve">avalikult kasutatav  </w:t>
            </w:r>
          </w:p>
        </w:tc>
      </w:tr>
    </w:tbl>
    <w:p w:rsidR="007561A4" w:rsidRPr="006F0206" w:rsidRDefault="00A42C52" w:rsidP="006F0206">
      <w:pPr>
        <w:spacing w:before="20" w:after="120"/>
        <w:jc w:val="both"/>
        <w:rPr>
          <w:rFonts w:ascii="Verdana" w:eastAsia="Times New Roman" w:hAnsi="Verdana" w:cs="Times New Roman"/>
          <w:sz w:val="18"/>
          <w:szCs w:val="24"/>
          <w:lang w:eastAsia="da-DK"/>
        </w:rPr>
      </w:pPr>
      <w:r w:rsidRPr="00A42C52">
        <w:rPr>
          <w:rFonts w:ascii="Verdana" w:eastAsia="Times New Roman" w:hAnsi="Verdana" w:cs="Times New Roman"/>
          <w:sz w:val="18"/>
          <w:szCs w:val="24"/>
          <w:lang w:eastAsia="da-DK"/>
        </w:rPr>
        <w:t>* jõe pikkus on antud</w:t>
      </w:r>
      <w:r w:rsidR="006F0206">
        <w:rPr>
          <w:rFonts w:ascii="Verdana" w:eastAsia="Times New Roman" w:hAnsi="Verdana" w:cs="Times New Roman"/>
          <w:sz w:val="18"/>
          <w:szCs w:val="24"/>
          <w:lang w:eastAsia="da-DK"/>
        </w:rPr>
        <w:t xml:space="preserve"> </w:t>
      </w:r>
      <w:r w:rsidRPr="00A42C52">
        <w:rPr>
          <w:rFonts w:ascii="Verdana" w:eastAsia="Times New Roman" w:hAnsi="Verdana" w:cs="Times New Roman"/>
          <w:sz w:val="18"/>
          <w:szCs w:val="24"/>
          <w:lang w:eastAsia="da-DK"/>
        </w:rPr>
        <w:t xml:space="preserve">koos lisaharudega </w:t>
      </w:r>
      <w:r w:rsidR="006F0206">
        <w:rPr>
          <w:rFonts w:ascii="Verdana" w:eastAsia="Times New Roman" w:hAnsi="Verdana" w:cs="Times New Roman"/>
          <w:sz w:val="18"/>
          <w:szCs w:val="24"/>
          <w:lang w:eastAsia="da-DK"/>
        </w:rPr>
        <w:t xml:space="preserve"> </w:t>
      </w:r>
    </w:p>
    <w:sectPr w:rsidR="007561A4" w:rsidRPr="006F0206" w:rsidSect="00A538BA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52" w:rsidRDefault="00A42C52" w:rsidP="00A42C52">
      <w:pPr>
        <w:spacing w:after="0" w:line="240" w:lineRule="auto"/>
      </w:pPr>
      <w:r>
        <w:separator/>
      </w:r>
    </w:p>
  </w:endnote>
  <w:endnote w:type="continuationSeparator" w:id="0">
    <w:p w:rsidR="00A42C52" w:rsidRDefault="00A42C52" w:rsidP="00A4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06" w:rsidRPr="006F0206" w:rsidRDefault="006F0206">
    <w:pPr>
      <w:pStyle w:val="Footer"/>
      <w:jc w:val="right"/>
      <w:rPr>
        <w:sz w:val="18"/>
        <w:szCs w:val="18"/>
      </w:rPr>
    </w:pPr>
  </w:p>
  <w:p w:rsidR="006F0206" w:rsidRDefault="006F0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52" w:rsidRDefault="00A42C52" w:rsidP="00A42C52">
      <w:pPr>
        <w:spacing w:after="0" w:line="240" w:lineRule="auto"/>
      </w:pPr>
      <w:r>
        <w:separator/>
      </w:r>
    </w:p>
  </w:footnote>
  <w:footnote w:type="continuationSeparator" w:id="0">
    <w:p w:rsidR="00A42C52" w:rsidRDefault="00A42C52" w:rsidP="00A4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04" w:rsidRPr="00183904" w:rsidRDefault="00183904" w:rsidP="00183904">
    <w:pPr>
      <w:pStyle w:val="Header"/>
      <w:jc w:val="right"/>
      <w:rPr>
        <w:b/>
      </w:rPr>
    </w:pPr>
    <w:r w:rsidRPr="006F0206">
      <w:rPr>
        <w:b/>
      </w:rPr>
      <w:t xml:space="preserve">LISA </w:t>
    </w:r>
    <w:r w:rsidR="00F0314A"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0112"/>
    <w:multiLevelType w:val="hybridMultilevel"/>
    <w:tmpl w:val="56AEC3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52"/>
    <w:rsid w:val="00183904"/>
    <w:rsid w:val="002F59A2"/>
    <w:rsid w:val="005D7813"/>
    <w:rsid w:val="006C462E"/>
    <w:rsid w:val="006F0206"/>
    <w:rsid w:val="00A42C52"/>
    <w:rsid w:val="00A538BA"/>
    <w:rsid w:val="00B74A9F"/>
    <w:rsid w:val="00DE3B93"/>
    <w:rsid w:val="00E47555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2C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C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2C52"/>
    <w:rPr>
      <w:rFonts w:ascii="Verdana" w:hAnsi="Verdana"/>
      <w:sz w:val="16"/>
      <w:vertAlign w:val="superscript"/>
    </w:rPr>
  </w:style>
  <w:style w:type="table" w:customStyle="1" w:styleId="Ramboll2">
    <w:name w:val="Ramboll2"/>
    <w:basedOn w:val="TableNormal"/>
    <w:uiPriority w:val="99"/>
    <w:qFormat/>
    <w:rsid w:val="00A42C52"/>
    <w:pPr>
      <w:spacing w:before="120" w:after="120"/>
      <w:jc w:val="both"/>
    </w:pPr>
    <w:rPr>
      <w:rFonts w:ascii="Verdana" w:eastAsia="Times New Roman" w:hAnsi="Verdana" w:cs="Times New Roman"/>
      <w:sz w:val="20"/>
      <w:szCs w:val="20"/>
      <w:lang w:val="da-DK" w:eastAsia="da-DK"/>
    </w:rPr>
    <w:tblPr>
      <w:tblInd w:w="0" w:type="dxa"/>
      <w:tblBorders>
        <w:top w:val="single" w:sz="4" w:space="0" w:color="A7D3F5"/>
        <w:left w:val="single" w:sz="4" w:space="0" w:color="A7D3F5"/>
        <w:bottom w:val="single" w:sz="4" w:space="0" w:color="A7D3F5"/>
        <w:right w:val="single" w:sz="4" w:space="0" w:color="A7D3F5"/>
        <w:insideH w:val="single" w:sz="4" w:space="0" w:color="A7D3F5"/>
        <w:insideV w:val="single" w:sz="4" w:space="0" w:color="A7D3F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jc w:val="left"/>
      </w:pPr>
      <w:rPr>
        <w:rFonts w:ascii="Verdana" w:hAnsi="Verdana"/>
        <w:b/>
        <w:color w:val="FFFFFF"/>
      </w:rPr>
      <w:tblPr/>
      <w:trPr>
        <w:cantSplit/>
        <w:tblHeader/>
      </w:trPr>
      <w:tcPr>
        <w:shd w:val="clear" w:color="auto" w:fill="009DE0"/>
        <w:vAlign w:val="center"/>
      </w:tcPr>
    </w:tblStylePr>
  </w:style>
  <w:style w:type="table" w:customStyle="1" w:styleId="Ramboll21">
    <w:name w:val="Ramboll21"/>
    <w:basedOn w:val="TableNormal"/>
    <w:uiPriority w:val="99"/>
    <w:qFormat/>
    <w:rsid w:val="00A42C52"/>
    <w:pPr>
      <w:spacing w:before="120" w:after="120"/>
      <w:jc w:val="both"/>
    </w:pPr>
    <w:rPr>
      <w:rFonts w:ascii="Verdana" w:eastAsia="Times New Roman" w:hAnsi="Verdana" w:cs="Times New Roman"/>
      <w:sz w:val="20"/>
      <w:szCs w:val="20"/>
      <w:lang w:val="da-DK" w:eastAsia="da-DK"/>
    </w:rPr>
    <w:tblPr>
      <w:tblInd w:w="0" w:type="dxa"/>
      <w:tblBorders>
        <w:top w:val="single" w:sz="4" w:space="0" w:color="A7D3F5"/>
        <w:left w:val="single" w:sz="4" w:space="0" w:color="A7D3F5"/>
        <w:bottom w:val="single" w:sz="4" w:space="0" w:color="A7D3F5"/>
        <w:right w:val="single" w:sz="4" w:space="0" w:color="A7D3F5"/>
        <w:insideH w:val="single" w:sz="4" w:space="0" w:color="A7D3F5"/>
        <w:insideV w:val="single" w:sz="4" w:space="0" w:color="A7D3F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jc w:val="left"/>
      </w:pPr>
      <w:rPr>
        <w:rFonts w:ascii="Verdana" w:hAnsi="Verdana"/>
        <w:b/>
        <w:color w:val="FFFFFF"/>
      </w:rPr>
      <w:tblPr/>
      <w:trPr>
        <w:cantSplit/>
        <w:tblHeader/>
      </w:trPr>
      <w:tcPr>
        <w:shd w:val="clear" w:color="auto" w:fill="009DE0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A4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52"/>
  </w:style>
  <w:style w:type="paragraph" w:styleId="Footer">
    <w:name w:val="footer"/>
    <w:basedOn w:val="Normal"/>
    <w:link w:val="FooterChar"/>
    <w:uiPriority w:val="99"/>
    <w:unhideWhenUsed/>
    <w:rsid w:val="00A4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2C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C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2C52"/>
    <w:rPr>
      <w:rFonts w:ascii="Verdana" w:hAnsi="Verdana"/>
      <w:sz w:val="16"/>
      <w:vertAlign w:val="superscript"/>
    </w:rPr>
  </w:style>
  <w:style w:type="table" w:customStyle="1" w:styleId="Ramboll2">
    <w:name w:val="Ramboll2"/>
    <w:basedOn w:val="TableNormal"/>
    <w:uiPriority w:val="99"/>
    <w:qFormat/>
    <w:rsid w:val="00A42C52"/>
    <w:pPr>
      <w:spacing w:before="120" w:after="120"/>
      <w:jc w:val="both"/>
    </w:pPr>
    <w:rPr>
      <w:rFonts w:ascii="Verdana" w:eastAsia="Times New Roman" w:hAnsi="Verdana" w:cs="Times New Roman"/>
      <w:sz w:val="20"/>
      <w:szCs w:val="20"/>
      <w:lang w:val="da-DK" w:eastAsia="da-DK"/>
    </w:rPr>
    <w:tblPr>
      <w:tblInd w:w="0" w:type="dxa"/>
      <w:tblBorders>
        <w:top w:val="single" w:sz="4" w:space="0" w:color="A7D3F5"/>
        <w:left w:val="single" w:sz="4" w:space="0" w:color="A7D3F5"/>
        <w:bottom w:val="single" w:sz="4" w:space="0" w:color="A7D3F5"/>
        <w:right w:val="single" w:sz="4" w:space="0" w:color="A7D3F5"/>
        <w:insideH w:val="single" w:sz="4" w:space="0" w:color="A7D3F5"/>
        <w:insideV w:val="single" w:sz="4" w:space="0" w:color="A7D3F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jc w:val="left"/>
      </w:pPr>
      <w:rPr>
        <w:rFonts w:ascii="Verdana" w:hAnsi="Verdana"/>
        <w:b/>
        <w:color w:val="FFFFFF"/>
      </w:rPr>
      <w:tblPr/>
      <w:trPr>
        <w:cantSplit/>
        <w:tblHeader/>
      </w:trPr>
      <w:tcPr>
        <w:shd w:val="clear" w:color="auto" w:fill="009DE0"/>
        <w:vAlign w:val="center"/>
      </w:tcPr>
    </w:tblStylePr>
  </w:style>
  <w:style w:type="table" w:customStyle="1" w:styleId="Ramboll21">
    <w:name w:val="Ramboll21"/>
    <w:basedOn w:val="TableNormal"/>
    <w:uiPriority w:val="99"/>
    <w:qFormat/>
    <w:rsid w:val="00A42C52"/>
    <w:pPr>
      <w:spacing w:before="120" w:after="120"/>
      <w:jc w:val="both"/>
    </w:pPr>
    <w:rPr>
      <w:rFonts w:ascii="Verdana" w:eastAsia="Times New Roman" w:hAnsi="Verdana" w:cs="Times New Roman"/>
      <w:sz w:val="20"/>
      <w:szCs w:val="20"/>
      <w:lang w:val="da-DK" w:eastAsia="da-DK"/>
    </w:rPr>
    <w:tblPr>
      <w:tblInd w:w="0" w:type="dxa"/>
      <w:tblBorders>
        <w:top w:val="single" w:sz="4" w:space="0" w:color="A7D3F5"/>
        <w:left w:val="single" w:sz="4" w:space="0" w:color="A7D3F5"/>
        <w:bottom w:val="single" w:sz="4" w:space="0" w:color="A7D3F5"/>
        <w:right w:val="single" w:sz="4" w:space="0" w:color="A7D3F5"/>
        <w:insideH w:val="single" w:sz="4" w:space="0" w:color="A7D3F5"/>
        <w:insideV w:val="single" w:sz="4" w:space="0" w:color="A7D3F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jc w:val="left"/>
      </w:pPr>
      <w:rPr>
        <w:rFonts w:ascii="Verdana" w:hAnsi="Verdana"/>
        <w:b/>
        <w:color w:val="FFFFFF"/>
      </w:rPr>
      <w:tblPr/>
      <w:trPr>
        <w:cantSplit/>
        <w:tblHeader/>
      </w:trPr>
      <w:tcPr>
        <w:shd w:val="clear" w:color="auto" w:fill="009DE0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A4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52"/>
  </w:style>
  <w:style w:type="paragraph" w:styleId="Footer">
    <w:name w:val="footer"/>
    <w:basedOn w:val="Normal"/>
    <w:link w:val="FooterChar"/>
    <w:uiPriority w:val="99"/>
    <w:unhideWhenUsed/>
    <w:rsid w:val="00A4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Finland Oy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 Riis</dc:creator>
  <cp:lastModifiedBy>Eike Riis</cp:lastModifiedBy>
  <cp:revision>6</cp:revision>
  <dcterms:created xsi:type="dcterms:W3CDTF">2015-03-05T09:26:00Z</dcterms:created>
  <dcterms:modified xsi:type="dcterms:W3CDTF">2015-05-06T12:00:00Z</dcterms:modified>
</cp:coreProperties>
</file>