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31" w:rsidRPr="004E6831" w:rsidRDefault="004E6831" w:rsidP="004E6831">
      <w:pPr>
        <w:spacing w:before="60" w:after="120"/>
        <w:jc w:val="both"/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</w:pPr>
      <w:r w:rsidRPr="004E6831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 xml:space="preserve">Kuusalu valla territooriumil </w:t>
      </w:r>
      <w:r w:rsidR="003411F6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>asuvad</w:t>
      </w:r>
      <w:r w:rsidRPr="004E6831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 xml:space="preserve"> kaitsealad. Allikas: Keskkonnaregister</w:t>
      </w:r>
      <w:r w:rsidR="00E85628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>,</w:t>
      </w:r>
      <w:r w:rsidR="00E85628" w:rsidRPr="00E85628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 xml:space="preserve"> </w:t>
      </w:r>
      <w:r w:rsidR="00E85628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>seisuga märts 2015</w:t>
      </w:r>
    </w:p>
    <w:tbl>
      <w:tblPr>
        <w:tblW w:w="14772" w:type="dxa"/>
        <w:tblInd w:w="40" w:type="dxa"/>
        <w:tblBorders>
          <w:top w:val="single" w:sz="4" w:space="0" w:color="A7D3F5" w:themeColor="accent1"/>
          <w:left w:val="single" w:sz="4" w:space="0" w:color="A7D3F5" w:themeColor="accent1"/>
          <w:bottom w:val="single" w:sz="4" w:space="0" w:color="A7D3F5" w:themeColor="accent1"/>
          <w:right w:val="single" w:sz="4" w:space="0" w:color="A7D3F5" w:themeColor="accent1"/>
          <w:insideH w:val="single" w:sz="4" w:space="0" w:color="A7D3F5" w:themeColor="accent1"/>
          <w:insideV w:val="single" w:sz="4" w:space="0" w:color="A7D3F5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1134"/>
        <w:gridCol w:w="2551"/>
        <w:gridCol w:w="993"/>
        <w:gridCol w:w="992"/>
        <w:gridCol w:w="992"/>
        <w:gridCol w:w="6662"/>
      </w:tblGrid>
      <w:tr w:rsidR="004E6831" w:rsidRPr="004E6831" w:rsidTr="004E6831">
        <w:trPr>
          <w:trHeight w:val="240"/>
          <w:tblHeader/>
        </w:trPr>
        <w:tc>
          <w:tcPr>
            <w:tcW w:w="1448" w:type="dxa"/>
            <w:vMerge w:val="restart"/>
            <w:shd w:val="clear" w:color="auto" w:fill="009DE0" w:themeFill="text2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da-DK"/>
              </w:rPr>
              <w:t>Registrikood</w:t>
            </w:r>
          </w:p>
        </w:tc>
        <w:tc>
          <w:tcPr>
            <w:tcW w:w="1134" w:type="dxa"/>
            <w:vMerge w:val="restart"/>
            <w:shd w:val="clear" w:color="auto" w:fill="009DE0" w:themeFill="text2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da-DK"/>
              </w:rPr>
              <w:t>Objekti nimetus</w:t>
            </w:r>
          </w:p>
        </w:tc>
        <w:tc>
          <w:tcPr>
            <w:tcW w:w="2551" w:type="dxa"/>
            <w:vMerge w:val="restart"/>
            <w:shd w:val="clear" w:color="auto" w:fill="009DE0" w:themeFill="text2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da-DK"/>
              </w:rPr>
              <w:t>Asukoht</w:t>
            </w:r>
          </w:p>
        </w:tc>
        <w:tc>
          <w:tcPr>
            <w:tcW w:w="2977" w:type="dxa"/>
            <w:gridSpan w:val="3"/>
            <w:shd w:val="clear" w:color="auto" w:fill="009DE0" w:themeFill="text2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da-DK"/>
              </w:rPr>
              <w:t>Pindala, ha</w:t>
            </w:r>
          </w:p>
        </w:tc>
        <w:tc>
          <w:tcPr>
            <w:tcW w:w="6662" w:type="dxa"/>
            <w:vMerge w:val="restart"/>
            <w:shd w:val="clear" w:color="auto" w:fill="009DE0" w:themeFill="text2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da-DK"/>
              </w:rPr>
              <w:t>Kaitse-eesmärk (ja **märkused)</w:t>
            </w:r>
          </w:p>
        </w:tc>
      </w:tr>
      <w:tr w:rsidR="004E6831" w:rsidRPr="004E6831" w:rsidTr="004E6831">
        <w:trPr>
          <w:trHeight w:val="240"/>
          <w:tblHeader/>
        </w:trPr>
        <w:tc>
          <w:tcPr>
            <w:tcW w:w="1448" w:type="dxa"/>
            <w:vMerge/>
            <w:shd w:val="clear" w:color="auto" w:fill="009DE0" w:themeFill="text2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da-DK"/>
              </w:rPr>
            </w:pPr>
          </w:p>
        </w:tc>
        <w:tc>
          <w:tcPr>
            <w:tcW w:w="1134" w:type="dxa"/>
            <w:vMerge/>
            <w:shd w:val="clear" w:color="auto" w:fill="009DE0" w:themeFill="text2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da-DK"/>
              </w:rPr>
            </w:pPr>
          </w:p>
        </w:tc>
        <w:tc>
          <w:tcPr>
            <w:tcW w:w="2551" w:type="dxa"/>
            <w:vMerge/>
            <w:shd w:val="clear" w:color="auto" w:fill="009DE0" w:themeFill="text2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da-DK"/>
              </w:rPr>
            </w:pPr>
          </w:p>
        </w:tc>
        <w:tc>
          <w:tcPr>
            <w:tcW w:w="993" w:type="dxa"/>
            <w:shd w:val="clear" w:color="auto" w:fill="009DE0" w:themeFill="text2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da-DK"/>
              </w:rPr>
              <w:t>mais-maa</w:t>
            </w:r>
          </w:p>
        </w:tc>
        <w:tc>
          <w:tcPr>
            <w:tcW w:w="992" w:type="dxa"/>
            <w:shd w:val="clear" w:color="auto" w:fill="009DE0" w:themeFill="text2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da-DK"/>
              </w:rPr>
              <w:t>veeosa</w:t>
            </w:r>
          </w:p>
        </w:tc>
        <w:tc>
          <w:tcPr>
            <w:tcW w:w="992" w:type="dxa"/>
            <w:shd w:val="clear" w:color="auto" w:fill="009DE0" w:themeFill="text2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da-DK"/>
              </w:rPr>
              <w:t>kokku</w:t>
            </w:r>
          </w:p>
        </w:tc>
        <w:tc>
          <w:tcPr>
            <w:tcW w:w="6662" w:type="dxa"/>
            <w:vMerge/>
            <w:shd w:val="clear" w:color="auto" w:fill="009DE0" w:themeFill="text2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da-DK"/>
              </w:rPr>
            </w:pPr>
          </w:p>
        </w:tc>
      </w:tr>
      <w:tr w:rsidR="004E6831" w:rsidRPr="004E6831" w:rsidTr="004E6831">
        <w:trPr>
          <w:trHeight w:val="240"/>
        </w:trPr>
        <w:tc>
          <w:tcPr>
            <w:tcW w:w="1448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KLO1000511</w:t>
            </w:r>
          </w:p>
        </w:tc>
        <w:tc>
          <w:tcPr>
            <w:tcW w:w="1134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Lahemaa RP</w:t>
            </w:r>
          </w:p>
        </w:tc>
        <w:tc>
          <w:tcPr>
            <w:tcW w:w="2551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Kolga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alevik; külad: Soorinna, Uuri, Loksa,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Turbuneeme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, Pudisoo, Pärispea,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Hara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Sõitme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Andineeme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, Kotka, Joaveski,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Kasispea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Parksi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, Viinistu, Leesi,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Kolgaküla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Muuksi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, Juminda,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Kemba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, Kalme,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Tapurla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, Valgejõe,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Tammistu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Liiapeksi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, Virve, Nõmmeveski,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Pedaspea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Tammispea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Tsitre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Kiiu-Aabla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Murksi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, Vihasoo, Kõnnu, Vanaküla,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Kahala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Kolga-Aabla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, Suurpea (+Loksa linn ning Lääne-Virumaa Kadrina ja Vihula vallad)</w:t>
            </w:r>
          </w:p>
        </w:tc>
        <w:tc>
          <w:tcPr>
            <w:tcW w:w="993" w:type="dxa"/>
          </w:tcPr>
          <w:p w:rsidR="004E6831" w:rsidRPr="004E6831" w:rsidRDefault="004E6831" w:rsidP="004E6831">
            <w:pPr>
              <w:spacing w:before="20" w:after="2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4E6831">
              <w:rPr>
                <w:rFonts w:ascii="Verdana" w:eastAsia="Times New Roman" w:hAnsi="Verdana" w:cs="Times New Roman"/>
                <w:sz w:val="18"/>
                <w:szCs w:val="24"/>
                <w:lang w:eastAsia="da-DK"/>
              </w:rPr>
              <w:t>47294,1</w:t>
            </w:r>
          </w:p>
        </w:tc>
        <w:tc>
          <w:tcPr>
            <w:tcW w:w="992" w:type="dxa"/>
          </w:tcPr>
          <w:p w:rsidR="004E6831" w:rsidRPr="004E6831" w:rsidRDefault="004E6831" w:rsidP="004E6831">
            <w:pPr>
              <w:spacing w:before="20" w:after="2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4E6831">
              <w:rPr>
                <w:rFonts w:ascii="Verdana" w:eastAsia="Times New Roman" w:hAnsi="Verdana" w:cs="Times New Roman"/>
                <w:sz w:val="18"/>
                <w:szCs w:val="24"/>
                <w:lang w:eastAsia="da-DK"/>
              </w:rPr>
              <w:t>27489,9</w:t>
            </w:r>
          </w:p>
        </w:tc>
        <w:tc>
          <w:tcPr>
            <w:tcW w:w="992" w:type="dxa"/>
          </w:tcPr>
          <w:p w:rsidR="004E6831" w:rsidRPr="004E6831" w:rsidRDefault="004E6831" w:rsidP="004E6831">
            <w:pPr>
              <w:spacing w:before="20" w:after="2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4E6831">
              <w:rPr>
                <w:rFonts w:ascii="Verdana" w:eastAsia="Times New Roman" w:hAnsi="Verdana" w:cs="Times New Roman"/>
                <w:sz w:val="18"/>
                <w:szCs w:val="24"/>
                <w:lang w:eastAsia="da-DK"/>
              </w:rPr>
              <w:t>747</w:t>
            </w:r>
            <w:bookmarkStart w:id="0" w:name="_GoBack"/>
            <w:bookmarkEnd w:id="0"/>
            <w:r w:rsidRPr="004E6831">
              <w:rPr>
                <w:rFonts w:ascii="Verdana" w:eastAsia="Times New Roman" w:hAnsi="Verdana" w:cs="Times New Roman"/>
                <w:sz w:val="18"/>
                <w:szCs w:val="24"/>
                <w:lang w:eastAsia="da-DK"/>
              </w:rPr>
              <w:t>84</w:t>
            </w:r>
          </w:p>
        </w:tc>
        <w:tc>
          <w:tcPr>
            <w:tcW w:w="6662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kaitsta: 1) Põhja-Eestile iseloomulikku loodust ja kultuuripärandit, sh maastikuilmet, pinnavorme, kaitsealuseid liike ja nende elupaiku, loodus- ja pärandkultuurmaastikke, maastiku üksikelemente, põllumajanduslikku maakasutust ja traditsioonilist rannakalandust, tasakaalustatud keskkonna-kasutust, piirkonnale iseloomulikku asustusstruktuuri, taluarhitektuuri ning rahvakultuuri, tagades nende säilimise,</w:t>
            </w:r>
            <w:r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taastamise, uurimise ja tutvustamise;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2) elupaigatüüpe, mida loodusdirektiiv nimetab I lisas (edaspidi loodusdirektiivi elupaigatüüp). Need on veealused liivamadalad (1110)3, liivased ja mudased pagurannad (1140), rannikulõukad (1150*), laiad madalad lahed (1160), karid (1170), esmased rannavallid (1210),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püsitaimestuga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kivirannad</w:t>
            </w:r>
            <w:r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(1220), väikesaared ning laiud (1620), rannaniidud (1630*),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püsitaimestuga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liivarannad (1640), eelluited (2110),</w:t>
            </w:r>
            <w:r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valged luited (liikuvad rannikuluited ‒ 2120), hallid luited (kinnistunud rannikuluited ‒ 2130*), rusked luited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kukemarjaga (2140*), metsastunud luited (2180), luidetevahelised niisked nõod (2190), kuivad liivanõmmed</w:t>
            </w:r>
            <w:r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kanarbiku ja kukemarjaga (2320), looduslikult rohketoitelised järved (3150), huumustoitelised järved ja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järvikud</w:t>
            </w:r>
            <w:proofErr w:type="spellEnd"/>
            <w:r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(3160), jõed ja ojad (3260), kuivad nõmmed (4030), kadastikud (5130), kuivad niidud lubjarikkal mullal</w:t>
            </w:r>
            <w:r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(*olulised orhideede kasvualad ‒ 6210), liigirikkad niidud lubjavaesel mullal (6270*), lood (alvarid ‒ 6280*),</w:t>
            </w:r>
            <w:r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sinihelmikakooslused (6410), niiskuslembesed kõrgrohustud (6430), lamminiidud (6450), aas-rebasesaba ja ürtpunanupuga</w:t>
            </w:r>
            <w:r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niidud (6510), puisniidud (6530*), rabad (7110*), rikutud, kuid taastumisvõimelised rabad (7120), siirde- ja õõtsiksood (7140), nokkheinakooslused (7150), allikad ja allikasood (7160), liigirikkad madalsood (7230), lubjakivipaljandid (8210), liivakivipaljandid (8220), koopad (8310), vanad loodusmetsad (9010*), vanad laialehised metsad (9020*), rohunditerikkad kuusikud (9050), okasmetsad oosidel ja moreenikuhjatistel</w:t>
            </w:r>
            <w:r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(sürjametsad ‒ 9060),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puiskarjamaad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(9070), soostuvad ja soo-lehtmetsad (9080*), rusukallete ja jäärakute metsad (pangametsad ‒ 9180*), siirdesoo- ja rabametsad (91D0*) ning lammi-lodumetsad (91E0*);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3) liike, mida linnudirektiiv nimetab I lisas. Need on kaljukotkas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Aquila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chrysaetos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väike-konnakotkas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Aquila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pomarina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must-toonekurg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Ciconia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nigra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merikotkas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Haliaeetus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albicilla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kalakotkas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Pandion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lastRenderedPageBreak/>
              <w:t>haliaetus</w:t>
            </w: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kassikakk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Bubo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bubo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tutkas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Philomachus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pugnax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karvasjalg-kakk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Aegolius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funereus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jäälind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Alcedo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atthis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nõmmekiur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Anthus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campestris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hüüp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Botaurus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stellaris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väikeluik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Cygnus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columbianus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bewickii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laululuik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Cygnus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cygnus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põldtsiitsitaja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Emberiza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hortulana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laanerähn e kolmvarvas-rähn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Picoides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tridactylus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sarvikpütt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Podiceps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auritus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metsis e mõtus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Tetrao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urogallus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teder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Tetrao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tetrix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musträhn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Dryocopus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martius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väike-kärbsenäpp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Ficedula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parva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herilaseviu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Pernis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apivorus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sookurg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Grus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grus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</w:t>
            </w:r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laanepüü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Bonasa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bonasia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öösorr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Caprimulgus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europaeus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värbkakk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Glaucidium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passerinum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roo-loorkull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Circus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aeruginosus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välja-loorkull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Circus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cyaneus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nõmmelõoke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Lullula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arborea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punaselg-õgija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Lanius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collurio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randtiir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Sterna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paradisaea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vööt-põõsalind (</w:t>
            </w:r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Sylvia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nisoria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händkakk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Strix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uralensis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rukkirääk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Crex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crex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 ja valge-toonekurg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Ciconia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ciconia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);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4) liike, mida linnudirektiiv nimetab II ja III lisas. Need on soopart e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pahlsaba-part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Anas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acuta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piilpart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Anas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crecca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viupart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Anas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penelope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sinikael-part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Anas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platyrhynchus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</w:t>
            </w:r>
            <w:r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punapea-vart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Aythya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ferina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tuttvart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Aythya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fuligula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merivart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Aythya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marila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sõtkas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Bucephala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clangula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õõnetuvi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Columba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oenas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kühmnokk-luik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Cygnus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olor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kalakajakas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Larus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canus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tõmmukajakas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Larus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fuscus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naerukajakas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Larus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ridibundus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tõmmuvaeras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Melanitta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fusca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jääkoskel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Mergus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merganser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rohukoskel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Mergus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serrator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suurkoovitaja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Numenius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arquata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hahk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Somateria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mollissima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punajalg-tilder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Tringa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totanus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kiivitaja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Vanellus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vanellus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) ja vaenukägu e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toonetutt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Upupa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epops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);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5) liike, mida loodusdirektiiv nimetab II lisas. Need on harilik ebapärlikarp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Margaritifera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margaritifera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harilik hink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Cobitis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taenia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harilik võldas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Cottus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gobio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suur-rabakiil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Leucorrhinia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pectoralis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),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vasakkeermene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pisitigu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Vertigo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angustior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tiigilendlane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Myotis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dasycneme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saarmas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Lutra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lutra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suur-mosaiikliblikas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Euphydryas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maturna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suur-kuldtiib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Lycaena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dispar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rohe-vesihobu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Ophiogomphus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cecilia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paksukojaline jõekarp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Unio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crassus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jõesilm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Lampetra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fluviatilis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 ja lõhe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Salmo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salar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);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6) kaitsealuseid liike, milleks on limatünnik (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Sarcosoma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globosum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haruline võtmehein (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Botrychium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matricariifolium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kõdu-koralljuur (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Corallorhiza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trifida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mõru vesipipar (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Elatine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hydropiper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väike käopõll (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Listera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cordata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), siberi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piimikas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(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Mulgedium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sibiricum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mesimurakas e soomurakas (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Rubus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arcticus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põhjatarn e norra tarn (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Carex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lastRenderedPageBreak/>
              <w:t>mackenziei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hallhaigur (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Ardea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cinerea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kanakull (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Accipiter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gentilis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männikäbilind</w:t>
            </w:r>
            <w:r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(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Loxia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pytyopsittacus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),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niidurüdi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e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niidurisla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(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Calidris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alpina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schinzii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rästas-roolind (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Acrocephalus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arundinaceus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 ja väike-kirjurähn (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Dendrocopos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minor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ning väänkaela (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Jynx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torquilla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 ja tuttpütti (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Podiceps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cristatus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(alus: Vabariigi Valitsuse 19.02.2015 määrus nr 18 „Lahemaa rahvuspargi kaitse-eeskiri“);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**</w:t>
            </w:r>
            <w:r w:rsidRPr="004E6831">
              <w:rPr>
                <w:rFonts w:ascii="Verdana" w:eastAsia="Times New Roman" w:hAnsi="Verdana" w:cs="Times New Roman"/>
                <w:sz w:val="18"/>
                <w:szCs w:val="24"/>
                <w:lang w:eastAsia="da-DK"/>
              </w:rPr>
              <w:t>on Kuusalu valla suurim kaitseala, hõlmates valla põhja- ja kirdeosa ca 250 km</w:t>
            </w:r>
            <w:r w:rsidRPr="004E6831">
              <w:rPr>
                <w:rFonts w:ascii="Verdana" w:eastAsia="Times New Roman" w:hAnsi="Verdana" w:cs="Times New Roman"/>
                <w:sz w:val="18"/>
                <w:szCs w:val="24"/>
                <w:vertAlign w:val="superscript"/>
                <w:lang w:eastAsia="da-DK"/>
              </w:rPr>
              <w:t>2</w:t>
            </w:r>
            <w:r w:rsidRPr="004E6831">
              <w:rPr>
                <w:rFonts w:ascii="Verdana" w:eastAsia="Times New Roman" w:hAnsi="Verdana" w:cs="Times New Roman"/>
                <w:sz w:val="18"/>
                <w:szCs w:val="24"/>
                <w:lang w:eastAsia="da-DK"/>
              </w:rPr>
              <w:t xml:space="preserve"> ulatuses</w:t>
            </w:r>
          </w:p>
        </w:tc>
      </w:tr>
      <w:tr w:rsidR="004E6831" w:rsidRPr="004E6831" w:rsidTr="004E6831">
        <w:trPr>
          <w:trHeight w:val="240"/>
        </w:trPr>
        <w:tc>
          <w:tcPr>
            <w:tcW w:w="1448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lastRenderedPageBreak/>
              <w:t>KLO1000230</w:t>
            </w:r>
          </w:p>
        </w:tc>
        <w:tc>
          <w:tcPr>
            <w:tcW w:w="1134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Ohepalu LKA</w:t>
            </w:r>
          </w:p>
        </w:tc>
        <w:tc>
          <w:tcPr>
            <w:tcW w:w="2551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Kolgu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küla, Pala küla,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Tõreska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küla (+Lääne-Virumaa, Kadrina vald ja Tapa vald)</w:t>
            </w:r>
          </w:p>
        </w:tc>
        <w:tc>
          <w:tcPr>
            <w:tcW w:w="993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5804,5</w:t>
            </w:r>
          </w:p>
        </w:tc>
        <w:tc>
          <w:tcPr>
            <w:tcW w:w="992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130,1</w:t>
            </w:r>
          </w:p>
        </w:tc>
        <w:tc>
          <w:tcPr>
            <w:tcW w:w="992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5934,6</w:t>
            </w:r>
          </w:p>
        </w:tc>
        <w:tc>
          <w:tcPr>
            <w:tcW w:w="6662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kaitsta: 1) metsa-, soo- ja veeökosüsteeme, maastiku ja elustiku mitmekesisust, kaitsealuste liikide elupaiku ja kasvukohti ning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Tapa-Pikassaare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ja Ohepalu-Viitna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oosistut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; 2) liikide elupaiku, mida linnudirektiiv nimetab I või II lisas: kaljukotkas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Aquila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chrysaetos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kassikakk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Bubo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bubo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laanerähn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Picoides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tridactylus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metsis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Tetrao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urogallus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must-toonekurg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Ciconia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nigra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sookurg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Grus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grus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 ja sõtkas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Bucephala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clangula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); 3) liike, mida loodusdirektiiv nimetab II lisas: eesti soojumikas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Saussurea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alpina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ssp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.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esthonica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kaunis kuldking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Cypripedium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calceolus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paksukojaline jõekarp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Unio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crassus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 ja rohe-vesihobu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Ophiogomphus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cecilia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);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4) elupaigatüüpe, mida loodusdirektiiv nimetab I lisas: huumustoitelised järved ja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järvikud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(3160)3, jõed ja ojad (3260), kuivad niidud lubjarikkal mullal (6210), liigirikkad niidud lubjavaesel mullal (6270*), aas-rebasesaba ja ürt-punanupuga niidud (6510), rabad (7110*), siirde- ja õõtsiksood (7140), liigirikkad madalsood (7230), vanad loodusmetsad (9010*), rohunditerikkad kuusikud (9050), okasmetsad oosidel ja moreenkuhjatistel (9060), soostuvad ja soo-lehtmetsad (9080*) ning siirdesoo- ja rabametsad (91D0*); 5) kaitsealuste liikide elupaiku, sealhulgas kanakull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Accipiter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gentilis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ainulehine soovalk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Malaxis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monophyllos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),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koldjas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selaginell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Selaginella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selaginoides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kõdu-koralljuur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Corallorhiza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trifida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kärbesõis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Ophrys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insectifera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palu-karukell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Pulsatilla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patens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sile tondipea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Dracocephalum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ruyschiana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 ja väike käopõll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Listera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cordata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(alus: Vabariigi Valitsuse 07.03.2014.a määrus nr 34 „Ohepalu looduskaitseala kaitse-eeskiri“)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**LKA hõlmab Kuusalu valla pindalast 25,2 km</w:t>
            </w: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vertAlign w:val="superscript"/>
                <w:lang w:eastAsia="da-DK"/>
              </w:rPr>
              <w:t>2</w:t>
            </w:r>
          </w:p>
        </w:tc>
      </w:tr>
      <w:tr w:rsidR="004E6831" w:rsidRPr="004E6831" w:rsidTr="004E6831">
        <w:trPr>
          <w:trHeight w:val="240"/>
        </w:trPr>
        <w:tc>
          <w:tcPr>
            <w:tcW w:w="1448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KLO1000598</w:t>
            </w:r>
          </w:p>
        </w:tc>
        <w:tc>
          <w:tcPr>
            <w:tcW w:w="1134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Põhja-Kõrvemaa LKA</w:t>
            </w:r>
          </w:p>
        </w:tc>
        <w:tc>
          <w:tcPr>
            <w:tcW w:w="2551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Pala küla,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Kemba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küla, Kõnnu küla, Valgejõe küla, Koitjärve küla,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lastRenderedPageBreak/>
              <w:t>Sigula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küla, Suru küla,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Tõreska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küla,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Liiapeksi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küla (+Anija valla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Pillapalu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küla) </w:t>
            </w:r>
          </w:p>
        </w:tc>
        <w:tc>
          <w:tcPr>
            <w:tcW w:w="993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lastRenderedPageBreak/>
              <w:t>12974</w:t>
            </w:r>
          </w:p>
        </w:tc>
        <w:tc>
          <w:tcPr>
            <w:tcW w:w="992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183,9</w:t>
            </w:r>
          </w:p>
        </w:tc>
        <w:tc>
          <w:tcPr>
            <w:tcW w:w="992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13157,9</w:t>
            </w:r>
          </w:p>
        </w:tc>
        <w:tc>
          <w:tcPr>
            <w:tcW w:w="6662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kaitse tagamine: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1) piirkonnale iseloomulikele maastikele, liustikutekkelistele pinnavormidele, inimtegevusest vähe mõjutatud metsa- ja </w:t>
            </w: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lastRenderedPageBreak/>
              <w:t>sookooslustele, eriilmelistele järvedele, haruldastele ja kaitsealustele liikidele ning nende elupaikadele;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2) liikidele, keda linnudirektiiv nimetab I lisas ja kellest üks on ühtlasi I kaitsekategooria liik ja neli on II kaitsekategooria liigid, ning I lisas nimetatud liikidele, kes on ühtlasi III kaitsekategooria liigid, ja nende elupaikadele. Need I lisas nimetatud III kaitsekategooria liigid on: musträhn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Dryocopus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martius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sookurg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Grus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grus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nõmmelõoke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Lullula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arborea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rüüt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Pluvialis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apricaria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händkakk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Strix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uralensis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teder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Tetrao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tetrix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 ja mudatilder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Tringa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glareola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);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3) elupaigatüüpidele, mida loodusdirektiiv nimetab I lisas. Need elupaigatüübid on: liiva-alade vähetoitelised järved (3110)3, vähe- kuni kesktoitelised kalgiveelised järved (3140), looduslikult rohketoitelised järved (3150), huumustoitelised järved ja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järvikud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(3160), jõed ja ojad (3260), kuivad nõmmed (4030), niiskuslembesed kõrgrohustud (6430), lamminiidud (6450), rabad (7110*), siirde- ja õõtsiksood (7140), vanad loodusmetsad (9010*), rohunditerikkad kuusikud (9050), oosidel ja moreenikuhjatistel kasvavad okasmetsad (9060), soostuvad ja soo-lehtmetsad (9080*), siirdesoo- ja rabametsad (91D0*) ning lammi-lodumetsad (91E0*);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4) liikidele, mida loodusdirektiiv nimetab II lisas, ja nende elupaikadele. Üks II lisas nimetatud liik on ühtlasi I kategooria kaitsealune liik ning kolm on ühtlasi II kategooria kaitsealused liigid;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5) I, II ja III kategooria kaitsealustele liikidele nagu põdrajuure-soomukas </w:t>
            </w:r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Orobanche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bartlingii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karukold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Lycopodium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clavatum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roomav öövilge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Goodyera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repens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mets-vareskold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Diphasium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complanatum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vööthuul-sõrmkäpp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Dactylorhiza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fuchsii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aas-karukell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Pulsatilla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pratensis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nõmm-vareskold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Diphasium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tristachyum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kahelehine käokeel (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Platanthera</w:t>
            </w:r>
            <w:proofErr w:type="spellEnd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E6831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bifolia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), mis on III kategooria kaitsealused liigid 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(alus: Vabariigi Valitsuse 09.05.2007.a määrus nr 137 „Põhja-Kõrvemaa looduskaitseala kaitse-eeskiri“)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**</w:t>
            </w:r>
            <w:r w:rsidRPr="004E6831">
              <w:rPr>
                <w:rFonts w:ascii="Verdana" w:eastAsia="Times New Roman" w:hAnsi="Verdana" w:cs="Times New Roman"/>
                <w:sz w:val="18"/>
                <w:szCs w:val="24"/>
                <w:lang w:eastAsia="da-DK"/>
              </w:rPr>
              <w:t>hõlmab 74,8 km</w:t>
            </w:r>
            <w:r w:rsidRPr="004E6831">
              <w:rPr>
                <w:rFonts w:ascii="Verdana" w:eastAsia="Times New Roman" w:hAnsi="Verdana" w:cs="Times New Roman"/>
                <w:sz w:val="18"/>
                <w:szCs w:val="24"/>
                <w:vertAlign w:val="superscript"/>
                <w:lang w:eastAsia="da-DK"/>
              </w:rPr>
              <w:t>2</w:t>
            </w:r>
            <w:r w:rsidRPr="004E6831">
              <w:rPr>
                <w:rFonts w:ascii="Verdana" w:eastAsia="Times New Roman" w:hAnsi="Verdana" w:cs="Times New Roman"/>
                <w:sz w:val="18"/>
                <w:szCs w:val="24"/>
                <w:lang w:eastAsia="da-DK"/>
              </w:rPr>
              <w:t xml:space="preserve"> Kuusalu valla pindalast</w:t>
            </w:r>
          </w:p>
        </w:tc>
      </w:tr>
      <w:tr w:rsidR="004E6831" w:rsidRPr="004E6831" w:rsidTr="004E6831">
        <w:trPr>
          <w:trHeight w:val="240"/>
        </w:trPr>
        <w:tc>
          <w:tcPr>
            <w:tcW w:w="1448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lastRenderedPageBreak/>
              <w:t>KLO1000495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134" w:type="dxa"/>
            <w:vMerge w:val="restart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lastRenderedPageBreak/>
              <w:t>Kolga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lahe MKA</w:t>
            </w:r>
          </w:p>
        </w:tc>
        <w:tc>
          <w:tcPr>
            <w:tcW w:w="2551" w:type="dxa"/>
            <w:vMerge w:val="restart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Salmistu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küla (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Pedassaar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(+Jõelähtme valla </w:t>
            </w: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lastRenderedPageBreak/>
              <w:t xml:space="preserve">Rammu,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Kaberneeme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Koipsi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ja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Rohusi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külade alla kuuluvad saared ja laiud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Kolga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lahes) </w:t>
            </w:r>
          </w:p>
        </w:tc>
        <w:tc>
          <w:tcPr>
            <w:tcW w:w="993" w:type="dxa"/>
            <w:vMerge w:val="restart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lastRenderedPageBreak/>
              <w:t>260,4</w:t>
            </w:r>
          </w:p>
        </w:tc>
        <w:tc>
          <w:tcPr>
            <w:tcW w:w="992" w:type="dxa"/>
            <w:vMerge w:val="restart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1672,4</w:t>
            </w:r>
          </w:p>
        </w:tc>
        <w:tc>
          <w:tcPr>
            <w:tcW w:w="992" w:type="dxa"/>
            <w:vMerge w:val="restart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1932,8</w:t>
            </w:r>
          </w:p>
        </w:tc>
        <w:tc>
          <w:tcPr>
            <w:tcW w:w="6662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Põhja-Eesti väikesaartele iseloomulike maastike ja koosluste kaitse (alus: Vabariigi Valitsuse 10.02.1999 määrus nr 57 „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Kolga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lahe </w:t>
            </w: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lastRenderedPageBreak/>
              <w:t>maastikukaitseala kaitse-eeskirja ja välispiiri kirjelduse kinnitamine“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Times New Roman"/>
                <w:sz w:val="18"/>
                <w:szCs w:val="24"/>
                <w:lang w:eastAsia="da-DK"/>
              </w:rPr>
              <w:t xml:space="preserve">**kaitseala koosseisu kuulub kokku 15 saart ja laidu. Suuruselt neist teine, </w:t>
            </w:r>
            <w:proofErr w:type="spellStart"/>
            <w:r w:rsidRPr="004E6831">
              <w:rPr>
                <w:rFonts w:ascii="Verdana" w:eastAsia="Times New Roman" w:hAnsi="Verdana" w:cs="Times New Roman"/>
                <w:sz w:val="18"/>
                <w:szCs w:val="24"/>
                <w:lang w:eastAsia="da-DK"/>
              </w:rPr>
              <w:t>Pedassaar</w:t>
            </w:r>
            <w:proofErr w:type="spellEnd"/>
            <w:r w:rsidRPr="004E6831">
              <w:rPr>
                <w:rFonts w:ascii="Verdana" w:eastAsia="Times New Roman" w:hAnsi="Verdana" w:cs="Times New Roman"/>
                <w:sz w:val="18"/>
                <w:szCs w:val="24"/>
                <w:lang w:eastAsia="da-DK"/>
              </w:rPr>
              <w:t xml:space="preserve"> (pindala erinevatel </w:t>
            </w:r>
            <w:r w:rsidRPr="004E6831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andmetel 90,2 ha</w:t>
            </w:r>
            <w:r w:rsidRPr="004E6831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da-DK"/>
              </w:rPr>
              <w:footnoteReference w:id="1"/>
            </w:r>
            <w:r w:rsidRPr="004E6831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 või 90,5 ha</w:t>
            </w:r>
            <w:r w:rsidRPr="004E6831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da-DK"/>
              </w:rPr>
              <w:footnoteReference w:id="2"/>
            </w:r>
            <w:r w:rsidRPr="004E6831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), kuulub Kuusalu valla haldusterritooriumi koosseisu, ülejäänud</w:t>
            </w:r>
            <w:r w:rsidRPr="004E6831">
              <w:rPr>
                <w:rFonts w:ascii="Verdana" w:eastAsia="Times New Roman" w:hAnsi="Verdana" w:cs="Times New Roman"/>
                <w:sz w:val="18"/>
                <w:szCs w:val="24"/>
                <w:lang w:eastAsia="da-DK"/>
              </w:rPr>
              <w:t xml:space="preserve"> saared ja laiud Jõelähtme valda.</w:t>
            </w:r>
          </w:p>
        </w:tc>
      </w:tr>
      <w:tr w:rsidR="004E6831" w:rsidRPr="004E6831" w:rsidTr="004E6831">
        <w:trPr>
          <w:trHeight w:val="240"/>
        </w:trPr>
        <w:tc>
          <w:tcPr>
            <w:tcW w:w="1448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lastRenderedPageBreak/>
              <w:t>PLO1000746</w:t>
            </w:r>
          </w:p>
        </w:tc>
        <w:tc>
          <w:tcPr>
            <w:tcW w:w="1134" w:type="dxa"/>
            <w:vMerge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551" w:type="dxa"/>
            <w:vMerge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3" w:type="dxa"/>
            <w:vMerge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  <w:vMerge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  <w:vMerge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6662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**kavandatav kaitseala (alus: keskkonnaministri 05.10.2020.a käskkiri nr 1391)</w:t>
            </w:r>
          </w:p>
        </w:tc>
      </w:tr>
      <w:tr w:rsidR="004E6831" w:rsidRPr="004E6831" w:rsidTr="004E6831">
        <w:trPr>
          <w:trHeight w:val="240"/>
        </w:trPr>
        <w:tc>
          <w:tcPr>
            <w:tcW w:w="1448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KLO1000164</w:t>
            </w:r>
          </w:p>
        </w:tc>
        <w:tc>
          <w:tcPr>
            <w:tcW w:w="1134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Ubari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MKA</w:t>
            </w:r>
          </w:p>
        </w:tc>
        <w:tc>
          <w:tcPr>
            <w:tcW w:w="2551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Kaberla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küla,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Valkla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küla 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(+Jõelähtme valla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Haapse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ja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Kaberneeme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külad) </w:t>
            </w:r>
          </w:p>
        </w:tc>
        <w:tc>
          <w:tcPr>
            <w:tcW w:w="993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58,7</w:t>
            </w:r>
          </w:p>
        </w:tc>
        <w:tc>
          <w:tcPr>
            <w:tcW w:w="992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992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58,7</w:t>
            </w:r>
          </w:p>
        </w:tc>
        <w:tc>
          <w:tcPr>
            <w:tcW w:w="6662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1) Põhja-Eesti paekalda, laialehiste metsakoosluste ja vääriselupaiga kriteeriumidele vastava metsaosa kaitse;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2) loodusdirektiivi I lisas nimetatud elupaigatüüpide – rusukallete ja jäärakute metsade (9180*), vanade loodusmetsade (9010*) ja plaatloode (8240*) – kaitse 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(alus: Vabariigi Valitsuse 16. juuni 2005. a määrus nr 147 „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Ubari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maastikukaitseala kaitse alla võtmine ja kaitse-eeskiri“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**MKA hõlmab Kuusalu valla pindalast 0,18 ha</w:t>
            </w:r>
          </w:p>
        </w:tc>
      </w:tr>
      <w:tr w:rsidR="004E6831" w:rsidRPr="004E6831" w:rsidTr="004E6831">
        <w:trPr>
          <w:trHeight w:val="240"/>
        </w:trPr>
        <w:tc>
          <w:tcPr>
            <w:tcW w:w="1448" w:type="dxa"/>
            <w:tcBorders>
              <w:top w:val="single" w:sz="4" w:space="0" w:color="A7D3F5" w:themeColor="accent1"/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KLO1200380</w:t>
            </w:r>
          </w:p>
        </w:tc>
        <w:tc>
          <w:tcPr>
            <w:tcW w:w="1134" w:type="dxa"/>
            <w:tcBorders>
              <w:top w:val="single" w:sz="4" w:space="0" w:color="A7D3F5" w:themeColor="accent1"/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Kiiu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mõisa park</w:t>
            </w:r>
          </w:p>
        </w:tc>
        <w:tc>
          <w:tcPr>
            <w:tcW w:w="2551" w:type="dxa"/>
            <w:tcBorders>
              <w:top w:val="single" w:sz="4" w:space="0" w:color="A7D3F5" w:themeColor="accent1"/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Kiiu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alevik</w:t>
            </w:r>
          </w:p>
        </w:tc>
        <w:tc>
          <w:tcPr>
            <w:tcW w:w="993" w:type="dxa"/>
            <w:tcBorders>
              <w:top w:val="single" w:sz="4" w:space="0" w:color="A7D3F5" w:themeColor="accent1"/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5,3</w:t>
            </w:r>
          </w:p>
        </w:tc>
        <w:tc>
          <w:tcPr>
            <w:tcW w:w="992" w:type="dxa"/>
            <w:tcBorders>
              <w:top w:val="single" w:sz="4" w:space="0" w:color="A7D3F5" w:themeColor="accent1"/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992" w:type="dxa"/>
            <w:tcBorders>
              <w:top w:val="single" w:sz="4" w:space="0" w:color="A7D3F5" w:themeColor="accent1"/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5,3</w:t>
            </w:r>
          </w:p>
        </w:tc>
        <w:tc>
          <w:tcPr>
            <w:tcW w:w="6662" w:type="dxa"/>
            <w:vMerge w:val="restart"/>
            <w:tcBorders>
              <w:top w:val="single" w:sz="4" w:space="0" w:color="A7D3F5" w:themeColor="accent1"/>
              <w:left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ajalooliselt kujunenud planeeringu, dendroloogiliselt, kultuurilooliselt, ökoloogiliselt, esteetiliselt ja puhkemajanduslikult väärtusliku puistu ning pargi- ja aiakunsti hinnaliste kujunduselementide säilitamine koos edasise kasutamise ja arendamise suunamisega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(alus: Vabariigi Valitsuse 03.03.2006.a määrus nr 64 „Kaitsealuste parkide, </w:t>
            </w: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arboreetumite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ja puistute kaitse-eeskiri“)</w:t>
            </w:r>
          </w:p>
        </w:tc>
      </w:tr>
      <w:tr w:rsidR="004E6831" w:rsidRPr="004E6831" w:rsidTr="004E6831">
        <w:trPr>
          <w:trHeight w:val="240"/>
        </w:trPr>
        <w:tc>
          <w:tcPr>
            <w:tcW w:w="1448" w:type="dxa"/>
            <w:tcBorders>
              <w:top w:val="single" w:sz="4" w:space="0" w:color="A7D3F5" w:themeColor="accent1"/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KLO1200359</w:t>
            </w:r>
          </w:p>
        </w:tc>
        <w:tc>
          <w:tcPr>
            <w:tcW w:w="1134" w:type="dxa"/>
            <w:tcBorders>
              <w:top w:val="single" w:sz="4" w:space="0" w:color="A7D3F5" w:themeColor="accent1"/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Kodasoo mõisa park</w:t>
            </w:r>
          </w:p>
        </w:tc>
        <w:tc>
          <w:tcPr>
            <w:tcW w:w="2551" w:type="dxa"/>
            <w:tcBorders>
              <w:top w:val="single" w:sz="4" w:space="0" w:color="A7D3F5" w:themeColor="accent1"/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Kodasoo küla</w:t>
            </w:r>
          </w:p>
        </w:tc>
        <w:tc>
          <w:tcPr>
            <w:tcW w:w="993" w:type="dxa"/>
            <w:tcBorders>
              <w:top w:val="single" w:sz="4" w:space="0" w:color="A7D3F5" w:themeColor="accent1"/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5,3</w:t>
            </w:r>
          </w:p>
        </w:tc>
        <w:tc>
          <w:tcPr>
            <w:tcW w:w="992" w:type="dxa"/>
            <w:tcBorders>
              <w:top w:val="single" w:sz="4" w:space="0" w:color="A7D3F5" w:themeColor="accent1"/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992" w:type="dxa"/>
            <w:tcBorders>
              <w:top w:val="single" w:sz="4" w:space="0" w:color="A7D3F5" w:themeColor="accent1"/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5,3</w:t>
            </w:r>
          </w:p>
        </w:tc>
        <w:tc>
          <w:tcPr>
            <w:tcW w:w="6662" w:type="dxa"/>
            <w:vMerge/>
            <w:tcBorders>
              <w:left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</w:p>
        </w:tc>
      </w:tr>
      <w:tr w:rsidR="004E6831" w:rsidRPr="004E6831" w:rsidTr="004E6831">
        <w:trPr>
          <w:trHeight w:val="240"/>
        </w:trPr>
        <w:tc>
          <w:tcPr>
            <w:tcW w:w="1448" w:type="dxa"/>
            <w:tcBorders>
              <w:top w:val="single" w:sz="4" w:space="0" w:color="A7D3F5" w:themeColor="accent1"/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KLO1200561</w:t>
            </w:r>
          </w:p>
        </w:tc>
        <w:tc>
          <w:tcPr>
            <w:tcW w:w="1134" w:type="dxa"/>
            <w:tcBorders>
              <w:top w:val="single" w:sz="4" w:space="0" w:color="A7D3F5" w:themeColor="accent1"/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Kolga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mõisa park</w:t>
            </w:r>
          </w:p>
        </w:tc>
        <w:tc>
          <w:tcPr>
            <w:tcW w:w="2551" w:type="dxa"/>
            <w:tcBorders>
              <w:top w:val="single" w:sz="4" w:space="0" w:color="A7D3F5" w:themeColor="accent1"/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Kolga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alevik</w:t>
            </w:r>
          </w:p>
        </w:tc>
        <w:tc>
          <w:tcPr>
            <w:tcW w:w="993" w:type="dxa"/>
            <w:tcBorders>
              <w:top w:val="single" w:sz="4" w:space="0" w:color="A7D3F5" w:themeColor="accent1"/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7D3F5" w:themeColor="accent1"/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992" w:type="dxa"/>
            <w:tcBorders>
              <w:top w:val="single" w:sz="4" w:space="0" w:color="A7D3F5" w:themeColor="accent1"/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12,8</w:t>
            </w:r>
          </w:p>
        </w:tc>
        <w:tc>
          <w:tcPr>
            <w:tcW w:w="6662" w:type="dxa"/>
            <w:vMerge/>
            <w:tcBorders>
              <w:left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</w:p>
        </w:tc>
      </w:tr>
      <w:tr w:rsidR="004E6831" w:rsidRPr="004E6831" w:rsidTr="004E6831">
        <w:trPr>
          <w:trHeight w:val="240"/>
        </w:trPr>
        <w:tc>
          <w:tcPr>
            <w:tcW w:w="1448" w:type="dxa"/>
            <w:tcBorders>
              <w:top w:val="single" w:sz="4" w:space="0" w:color="A7D3F5" w:themeColor="accent1"/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KLO1200417</w:t>
            </w:r>
          </w:p>
        </w:tc>
        <w:tc>
          <w:tcPr>
            <w:tcW w:w="1134" w:type="dxa"/>
            <w:tcBorders>
              <w:top w:val="single" w:sz="4" w:space="0" w:color="A7D3F5" w:themeColor="accent1"/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Kahala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hiiemets (puistu)</w:t>
            </w:r>
          </w:p>
        </w:tc>
        <w:tc>
          <w:tcPr>
            <w:tcW w:w="2551" w:type="dxa"/>
            <w:tcBorders>
              <w:top w:val="single" w:sz="4" w:space="0" w:color="A7D3F5" w:themeColor="accent1"/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Kahala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küla, Uuri küla</w:t>
            </w:r>
          </w:p>
        </w:tc>
        <w:tc>
          <w:tcPr>
            <w:tcW w:w="993" w:type="dxa"/>
            <w:tcBorders>
              <w:top w:val="single" w:sz="4" w:space="0" w:color="A7D3F5" w:themeColor="accent1"/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0,9</w:t>
            </w:r>
          </w:p>
        </w:tc>
        <w:tc>
          <w:tcPr>
            <w:tcW w:w="992" w:type="dxa"/>
            <w:tcBorders>
              <w:top w:val="single" w:sz="4" w:space="0" w:color="A7D3F5" w:themeColor="accent1"/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992" w:type="dxa"/>
            <w:tcBorders>
              <w:top w:val="single" w:sz="4" w:space="0" w:color="A7D3F5" w:themeColor="accent1"/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0,9</w:t>
            </w:r>
          </w:p>
        </w:tc>
        <w:tc>
          <w:tcPr>
            <w:tcW w:w="6662" w:type="dxa"/>
            <w:vMerge/>
            <w:tcBorders>
              <w:left w:val="single" w:sz="4" w:space="0" w:color="A7D3F5" w:themeColor="accent1"/>
              <w:bottom w:val="single" w:sz="4" w:space="0" w:color="A7D3F5" w:themeColor="accent1"/>
              <w:right w:val="single" w:sz="4" w:space="0" w:color="A7D3F5" w:themeColor="accent1"/>
            </w:tcBorders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</w:p>
        </w:tc>
      </w:tr>
      <w:tr w:rsidR="004E6831" w:rsidRPr="004E6831" w:rsidTr="004E6831">
        <w:trPr>
          <w:trHeight w:val="240"/>
        </w:trPr>
        <w:tc>
          <w:tcPr>
            <w:tcW w:w="1448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KLO1000429</w:t>
            </w:r>
          </w:p>
        </w:tc>
        <w:tc>
          <w:tcPr>
            <w:tcW w:w="1134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Võnsi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männik</w:t>
            </w:r>
          </w:p>
        </w:tc>
        <w:tc>
          <w:tcPr>
            <w:tcW w:w="2551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Kuusalu küla</w:t>
            </w:r>
          </w:p>
        </w:tc>
        <w:tc>
          <w:tcPr>
            <w:tcW w:w="993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992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992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6662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Antsülusjärve</w:t>
            </w:r>
            <w:proofErr w:type="spellEnd"/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perioodist pärineva rannavalli idaservas kasvava keskmiselt 20 m kõrguse puistu kaitse</w:t>
            </w:r>
          </w:p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**vana kaitsekorraga ala (alus: Harju raj. RSN TK otsus nr 258 „Harju rajoonis asuvate riikliku kaitse alla kuuluvate kohaliku tähtsusega objektide kinnitamisest“)</w:t>
            </w:r>
          </w:p>
        </w:tc>
      </w:tr>
      <w:tr w:rsidR="004E6831" w:rsidRPr="004E6831" w:rsidTr="004E6831">
        <w:trPr>
          <w:trHeight w:val="240"/>
        </w:trPr>
        <w:tc>
          <w:tcPr>
            <w:tcW w:w="1448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KLO1000407</w:t>
            </w:r>
          </w:p>
        </w:tc>
        <w:tc>
          <w:tcPr>
            <w:tcW w:w="1134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Joaveski joa astang</w:t>
            </w:r>
          </w:p>
        </w:tc>
        <w:tc>
          <w:tcPr>
            <w:tcW w:w="2551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Joaveski küla</w:t>
            </w:r>
          </w:p>
        </w:tc>
        <w:tc>
          <w:tcPr>
            <w:tcW w:w="993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1,8</w:t>
            </w:r>
          </w:p>
        </w:tc>
        <w:tc>
          <w:tcPr>
            <w:tcW w:w="992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1,8</w:t>
            </w:r>
          </w:p>
        </w:tc>
        <w:tc>
          <w:tcPr>
            <w:tcW w:w="6662" w:type="dxa"/>
          </w:tcPr>
          <w:p w:rsidR="004E6831" w:rsidRPr="004E6831" w:rsidRDefault="004E6831" w:rsidP="004E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E6831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**vana kaitsekorraga ala (alus: ENSV MN korraldus nr 331-k „Maastiku üksikelementide, dendraariumide ja katsekultuuride ning viljapuude ja viljapuuaedade riikliku kaitse alla võtmisest“)</w:t>
            </w:r>
          </w:p>
        </w:tc>
      </w:tr>
    </w:tbl>
    <w:p w:rsidR="007561A4" w:rsidRPr="004E6831" w:rsidRDefault="00E85628" w:rsidP="004E6831">
      <w:pPr>
        <w:rPr>
          <w:sz w:val="18"/>
          <w:szCs w:val="18"/>
        </w:rPr>
      </w:pPr>
    </w:p>
    <w:sectPr w:rsidR="007561A4" w:rsidRPr="004E6831" w:rsidSect="004E6831">
      <w:headerReference w:type="first" r:id="rId7"/>
      <w:pgSz w:w="16838" w:h="11906" w:orient="landscape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31" w:rsidRDefault="004E6831" w:rsidP="004E6831">
      <w:pPr>
        <w:spacing w:after="0" w:line="240" w:lineRule="auto"/>
      </w:pPr>
      <w:r>
        <w:separator/>
      </w:r>
    </w:p>
  </w:endnote>
  <w:endnote w:type="continuationSeparator" w:id="0">
    <w:p w:rsidR="004E6831" w:rsidRDefault="004E6831" w:rsidP="004E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31" w:rsidRDefault="004E6831" w:rsidP="004E6831">
      <w:pPr>
        <w:spacing w:after="0" w:line="240" w:lineRule="auto"/>
      </w:pPr>
      <w:r>
        <w:separator/>
      </w:r>
    </w:p>
  </w:footnote>
  <w:footnote w:type="continuationSeparator" w:id="0">
    <w:p w:rsidR="004E6831" w:rsidRDefault="004E6831" w:rsidP="004E6831">
      <w:pPr>
        <w:spacing w:after="0" w:line="240" w:lineRule="auto"/>
      </w:pPr>
      <w:r>
        <w:continuationSeparator/>
      </w:r>
    </w:p>
  </w:footnote>
  <w:footnote w:id="1">
    <w:p w:rsidR="004E6831" w:rsidRPr="004E6831" w:rsidRDefault="004E6831" w:rsidP="004E6831">
      <w:pPr>
        <w:pStyle w:val="FootnoteText"/>
        <w:rPr>
          <w:sz w:val="16"/>
          <w:szCs w:val="16"/>
        </w:rPr>
      </w:pPr>
      <w:r w:rsidRPr="004E6831">
        <w:rPr>
          <w:rStyle w:val="FootnoteReference"/>
          <w:szCs w:val="16"/>
        </w:rPr>
        <w:footnoteRef/>
      </w:r>
      <w:r w:rsidRPr="004E6831">
        <w:rPr>
          <w:sz w:val="16"/>
          <w:szCs w:val="16"/>
        </w:rPr>
        <w:t xml:space="preserve"> Maa-ameti X-GIS </w:t>
      </w:r>
      <w:proofErr w:type="spellStart"/>
      <w:r w:rsidRPr="004E6831">
        <w:rPr>
          <w:sz w:val="16"/>
          <w:szCs w:val="16"/>
        </w:rPr>
        <w:t>Geoportaali</w:t>
      </w:r>
      <w:proofErr w:type="spellEnd"/>
      <w:r w:rsidRPr="004E6831">
        <w:rPr>
          <w:sz w:val="16"/>
          <w:szCs w:val="16"/>
        </w:rPr>
        <w:t xml:space="preserve"> andmed, vaadatud 05.03.2015</w:t>
      </w:r>
    </w:p>
  </w:footnote>
  <w:footnote w:id="2">
    <w:p w:rsidR="004E6831" w:rsidRPr="004E6831" w:rsidRDefault="004E6831" w:rsidP="004E6831">
      <w:pPr>
        <w:pStyle w:val="FootnoteText"/>
        <w:rPr>
          <w:sz w:val="16"/>
          <w:szCs w:val="16"/>
        </w:rPr>
      </w:pPr>
      <w:r w:rsidRPr="004E6831">
        <w:rPr>
          <w:rStyle w:val="FootnoteReference"/>
          <w:szCs w:val="16"/>
        </w:rPr>
        <w:footnoteRef/>
      </w:r>
      <w:r w:rsidRPr="004E6831">
        <w:rPr>
          <w:sz w:val="16"/>
          <w:szCs w:val="16"/>
        </w:rPr>
        <w:t xml:space="preserve"> Keskkonnaregistri andmed (</w:t>
      </w:r>
      <w:proofErr w:type="spellStart"/>
      <w:r w:rsidRPr="004E6831">
        <w:rPr>
          <w:sz w:val="16"/>
          <w:szCs w:val="16"/>
        </w:rPr>
        <w:t>Pedassaare</w:t>
      </w:r>
      <w:proofErr w:type="spellEnd"/>
      <w:r w:rsidRPr="004E6831">
        <w:rPr>
          <w:sz w:val="16"/>
          <w:szCs w:val="16"/>
        </w:rPr>
        <w:t xml:space="preserve"> piiranguvöönd), vaadatud 05.03.2015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31" w:rsidRPr="004E6831" w:rsidRDefault="003411F6" w:rsidP="004E6831">
    <w:pPr>
      <w:pStyle w:val="Header"/>
      <w:jc w:val="right"/>
      <w:rPr>
        <w:b/>
      </w:rPr>
    </w:pPr>
    <w:r w:rsidRPr="004E6831">
      <w:rPr>
        <w:b/>
      </w:rPr>
      <w:t>LISA</w:t>
    </w:r>
    <w:r w:rsidR="004E6831" w:rsidRPr="004E6831">
      <w:rPr>
        <w:b/>
      </w:rPr>
      <w:t xml:space="preserve"> </w:t>
    </w:r>
    <w:r w:rsidR="00E85628">
      <w:rPr>
        <w:b/>
      </w:rPr>
      <w:t>4</w:t>
    </w:r>
    <w:r w:rsidR="004E6831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31"/>
    <w:rsid w:val="002F59A2"/>
    <w:rsid w:val="003411F6"/>
    <w:rsid w:val="00411A2D"/>
    <w:rsid w:val="004E6831"/>
    <w:rsid w:val="005D7813"/>
    <w:rsid w:val="006C462E"/>
    <w:rsid w:val="00DC2DE6"/>
    <w:rsid w:val="00E47555"/>
    <w:rsid w:val="00E85628"/>
    <w:rsid w:val="00E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E68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8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E6831"/>
    <w:rPr>
      <w:rFonts w:ascii="Verdana" w:hAnsi="Verdana"/>
      <w:sz w:val="16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E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831"/>
  </w:style>
  <w:style w:type="paragraph" w:styleId="Footer">
    <w:name w:val="footer"/>
    <w:basedOn w:val="Normal"/>
    <w:link w:val="FooterChar"/>
    <w:uiPriority w:val="99"/>
    <w:unhideWhenUsed/>
    <w:rsid w:val="004E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E68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8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E6831"/>
    <w:rPr>
      <w:rFonts w:ascii="Verdana" w:hAnsi="Verdana"/>
      <w:sz w:val="16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E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831"/>
  </w:style>
  <w:style w:type="paragraph" w:styleId="Footer">
    <w:name w:val="footer"/>
    <w:basedOn w:val="Normal"/>
    <w:link w:val="FooterChar"/>
    <w:uiPriority w:val="99"/>
    <w:unhideWhenUsed/>
    <w:rsid w:val="004E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amboll">
  <a:themeElements>
    <a:clrScheme name="Ramboll">
      <a:dk1>
        <a:sysClr val="windowText" lastClr="000000"/>
      </a:dk1>
      <a:lt1>
        <a:sysClr val="window" lastClr="FFFFFF"/>
      </a:lt1>
      <a:dk2>
        <a:srgbClr val="009DE0"/>
      </a:dk2>
      <a:lt2>
        <a:srgbClr val="797766"/>
      </a:lt2>
      <a:accent1>
        <a:srgbClr val="A7D3F5"/>
      </a:accent1>
      <a:accent2>
        <a:srgbClr val="5CA551"/>
      </a:accent2>
      <a:accent3>
        <a:srgbClr val="A1BF36"/>
      </a:accent3>
      <a:accent4>
        <a:srgbClr val="C40079"/>
      </a:accent4>
      <a:accent5>
        <a:srgbClr val="C63418"/>
      </a:accent5>
      <a:accent6>
        <a:srgbClr val="D0CFC5"/>
      </a:accent6>
      <a:hlink>
        <a:srgbClr val="0000FF"/>
      </a:hlink>
      <a:folHlink>
        <a:srgbClr val="800080"/>
      </a:folHlink>
    </a:clrScheme>
    <a:fontScheme name="Rambol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1841</Words>
  <Characters>10681</Characters>
  <Application>Microsoft Office Word</Application>
  <DocSecurity>0</DocSecurity>
  <Lines>89</Lines>
  <Paragraphs>24</Paragraphs>
  <ScaleCrop>false</ScaleCrop>
  <Company>Ramboll Finland Oy</Company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Eike Riis</dc:creator>
  <cp:lastModifiedBy>Eike Riis</cp:lastModifiedBy>
  <cp:revision>6</cp:revision>
  <dcterms:created xsi:type="dcterms:W3CDTF">2015-03-10T07:43:00Z</dcterms:created>
  <dcterms:modified xsi:type="dcterms:W3CDTF">2015-05-06T11:59:00Z</dcterms:modified>
</cp:coreProperties>
</file>